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C4" w:rsidRPr="005F29C4" w:rsidRDefault="005F29C4" w:rsidP="005F29C4">
      <w:pPr>
        <w:numPr>
          <w:ilvl w:val="0"/>
          <w:numId w:val="2"/>
        </w:numPr>
        <w:shd w:val="clear" w:color="auto" w:fill="FFFFFF"/>
        <w:spacing w:before="100" w:beforeAutospacing="1" w:after="100" w:afterAutospacing="1" w:line="240" w:lineRule="auto"/>
        <w:ind w:left="1440"/>
        <w:rPr>
          <w:rFonts w:ascii="Arial" w:eastAsia="Times New Roman" w:hAnsi="Arial" w:cs="Arial"/>
          <w:vanish/>
          <w:color w:val="666666"/>
          <w:sz w:val="13"/>
          <w:szCs w:val="13"/>
        </w:rPr>
      </w:pPr>
    </w:p>
    <w:p w:rsidR="005F29C4" w:rsidRPr="005F29C4" w:rsidRDefault="005F29C4"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r>
        <w:rPr>
          <w:rFonts w:ascii="Arial" w:eastAsia="Times New Roman" w:hAnsi="Arial" w:cs="Arial"/>
          <w:noProof/>
          <w:vanish/>
          <w:color w:val="666666"/>
          <w:sz w:val="13"/>
          <w:szCs w:val="13"/>
        </w:rPr>
        <w:drawing>
          <wp:inline distT="0" distB="0" distL="0" distR="0">
            <wp:extent cx="1188720" cy="518160"/>
            <wp:effectExtent l="19050" t="0" r="0" b="0"/>
            <wp:docPr id="4" name="Picture 4" descr="http://docushare.xerox.com/images/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ushare.xerox.com/images/header4.gif"/>
                    <pic:cNvPicPr>
                      <a:picLocks noChangeAspect="1" noChangeArrowheads="1"/>
                    </pic:cNvPicPr>
                  </pic:nvPicPr>
                  <pic:blipFill>
                    <a:blip r:embed="rId5" cstate="print"/>
                    <a:srcRect/>
                    <a:stretch>
                      <a:fillRect/>
                    </a:stretch>
                  </pic:blipFill>
                  <pic:spPr bwMode="auto">
                    <a:xfrm>
                      <a:off x="0" y="0"/>
                      <a:ext cx="1188720" cy="518160"/>
                    </a:xfrm>
                    <a:prstGeom prst="rect">
                      <a:avLst/>
                    </a:prstGeom>
                    <a:noFill/>
                    <a:ln w="9525">
                      <a:noFill/>
                      <a:miter lim="800000"/>
                      <a:headEnd/>
                      <a:tailEnd/>
                    </a:ln>
                  </pic:spPr>
                </pic:pic>
              </a:graphicData>
            </a:graphic>
          </wp:inline>
        </w:drawing>
      </w:r>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6" w:history="1">
        <w:r w:rsidR="005F29C4" w:rsidRPr="005F29C4">
          <w:rPr>
            <w:rFonts w:ascii="Arial" w:eastAsia="Times New Roman" w:hAnsi="Arial" w:cs="Arial"/>
            <w:vanish/>
            <w:color w:val="2895D5"/>
            <w:sz w:val="13"/>
          </w:rPr>
          <w:t>Education</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7" w:history="1">
        <w:r w:rsidR="005F29C4" w:rsidRPr="005F29C4">
          <w:rPr>
            <w:rFonts w:ascii="Arial" w:eastAsia="Times New Roman" w:hAnsi="Arial" w:cs="Arial"/>
            <w:vanish/>
            <w:color w:val="2895D5"/>
            <w:sz w:val="13"/>
          </w:rPr>
          <w:t>Financial Services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8" w:history="1">
        <w:r w:rsidR="005F29C4" w:rsidRPr="005F29C4">
          <w:rPr>
            <w:rFonts w:ascii="Arial" w:eastAsia="Times New Roman" w:hAnsi="Arial" w:cs="Arial"/>
            <w:vanish/>
            <w:color w:val="2895D5"/>
            <w:sz w:val="13"/>
          </w:rPr>
          <w:t>Government</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9" w:history="1">
        <w:r w:rsidR="005F29C4" w:rsidRPr="005F29C4">
          <w:rPr>
            <w:rFonts w:ascii="Arial" w:eastAsia="Times New Roman" w:hAnsi="Arial" w:cs="Arial"/>
            <w:vanish/>
            <w:color w:val="2895D5"/>
            <w:sz w:val="13"/>
          </w:rPr>
          <w:t>Healthcare</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0" w:history="1">
        <w:r w:rsidR="005F29C4" w:rsidRPr="005F29C4">
          <w:rPr>
            <w:rFonts w:ascii="Arial" w:eastAsia="Times New Roman" w:hAnsi="Arial" w:cs="Arial"/>
            <w:vanish/>
            <w:color w:val="2895D5"/>
            <w:sz w:val="13"/>
          </w:rPr>
          <w:t>High Tech &amp; Communications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1" w:history="1">
        <w:r w:rsidR="005F29C4" w:rsidRPr="005F29C4">
          <w:rPr>
            <w:rFonts w:ascii="Arial" w:eastAsia="Times New Roman" w:hAnsi="Arial" w:cs="Arial"/>
            <w:vanish/>
            <w:color w:val="2895D5"/>
            <w:sz w:val="13"/>
          </w:rPr>
          <w:t>Legal Services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2" w:history="1">
        <w:r w:rsidR="005F29C4" w:rsidRPr="005F29C4">
          <w:rPr>
            <w:rFonts w:ascii="Arial" w:eastAsia="Times New Roman" w:hAnsi="Arial" w:cs="Arial"/>
            <w:vanish/>
            <w:color w:val="2895D5"/>
            <w:sz w:val="13"/>
          </w:rPr>
          <w:t xml:space="preserve">Manufacturing </w:t>
        </w:r>
        <w:r w:rsidR="005F29C4" w:rsidRPr="005F29C4">
          <w:rPr>
            <w:rFonts w:ascii="Arial" w:eastAsia="Times New Roman" w:hAnsi="Arial" w:cs="Arial"/>
            <w:vanish/>
            <w:color w:val="2895D5"/>
            <w:sz w:val="13"/>
            <w:szCs w:val="13"/>
          </w:rPr>
          <w:br/>
        </w:r>
        <w:r w:rsidR="005F29C4" w:rsidRPr="005F29C4">
          <w:rPr>
            <w:rFonts w:ascii="Arial" w:eastAsia="Times New Roman" w:hAnsi="Arial" w:cs="Arial"/>
            <w:vanish/>
            <w:color w:val="2895D5"/>
            <w:sz w:val="13"/>
          </w:rPr>
          <w:t>&amp; Energy</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3" w:history="1">
        <w:r w:rsidR="005F29C4" w:rsidRPr="005F29C4">
          <w:rPr>
            <w:rFonts w:ascii="Arial" w:eastAsia="Times New Roman" w:hAnsi="Arial" w:cs="Arial"/>
            <w:vanish/>
            <w:color w:val="2895D5"/>
            <w:sz w:val="13"/>
          </w:rPr>
          <w:t>Retail &amp;</w:t>
        </w:r>
        <w:r w:rsidR="005F29C4" w:rsidRPr="005F29C4">
          <w:rPr>
            <w:rFonts w:ascii="Arial" w:eastAsia="Times New Roman" w:hAnsi="Arial" w:cs="Arial"/>
            <w:vanish/>
            <w:color w:val="2895D5"/>
            <w:sz w:val="13"/>
            <w:szCs w:val="13"/>
          </w:rPr>
          <w:br/>
        </w:r>
        <w:r w:rsidR="005F29C4" w:rsidRPr="005F29C4">
          <w:rPr>
            <w:rFonts w:ascii="Arial" w:eastAsia="Times New Roman" w:hAnsi="Arial" w:cs="Arial"/>
            <w:vanish/>
            <w:color w:val="2895D5"/>
            <w:sz w:val="13"/>
          </w:rPr>
          <w:t>Consumer Goods</w:t>
        </w:r>
      </w:hyperlink>
    </w:p>
    <w:p w:rsidR="005F29C4" w:rsidRPr="005F29C4" w:rsidRDefault="005F29C4" w:rsidP="005F29C4">
      <w:pPr>
        <w:numPr>
          <w:ilvl w:val="0"/>
          <w:numId w:val="2"/>
        </w:numPr>
        <w:shd w:val="clear" w:color="auto" w:fill="FFFFFF"/>
        <w:spacing w:before="100" w:beforeAutospacing="1" w:after="100" w:afterAutospacing="1" w:line="240" w:lineRule="auto"/>
        <w:ind w:left="1440"/>
        <w:rPr>
          <w:rFonts w:ascii="Arial" w:eastAsia="Times New Roman" w:hAnsi="Arial" w:cs="Arial"/>
          <w:vanish/>
          <w:color w:val="666666"/>
          <w:sz w:val="13"/>
          <w:szCs w:val="13"/>
        </w:rPr>
      </w:pPr>
    </w:p>
    <w:p w:rsidR="005F29C4" w:rsidRPr="005F29C4" w:rsidRDefault="005F29C4"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r>
        <w:rPr>
          <w:rFonts w:ascii="Arial" w:eastAsia="Times New Roman" w:hAnsi="Arial" w:cs="Arial"/>
          <w:noProof/>
          <w:vanish/>
          <w:color w:val="666666"/>
          <w:sz w:val="13"/>
          <w:szCs w:val="13"/>
        </w:rPr>
        <w:drawing>
          <wp:inline distT="0" distB="0" distL="0" distR="0">
            <wp:extent cx="1188720" cy="518160"/>
            <wp:effectExtent l="19050" t="0" r="0" b="0"/>
            <wp:docPr id="5" name="Picture 5" descr="http://docushare.xerox.com/images/head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ushare.xerox.com/images/header5.gif"/>
                    <pic:cNvPicPr>
                      <a:picLocks noChangeAspect="1" noChangeArrowheads="1"/>
                    </pic:cNvPicPr>
                  </pic:nvPicPr>
                  <pic:blipFill>
                    <a:blip r:embed="rId14" cstate="print"/>
                    <a:srcRect/>
                    <a:stretch>
                      <a:fillRect/>
                    </a:stretch>
                  </pic:blipFill>
                  <pic:spPr bwMode="auto">
                    <a:xfrm>
                      <a:off x="0" y="0"/>
                      <a:ext cx="1188720" cy="518160"/>
                    </a:xfrm>
                    <a:prstGeom prst="rect">
                      <a:avLst/>
                    </a:prstGeom>
                    <a:noFill/>
                    <a:ln w="9525">
                      <a:noFill/>
                      <a:miter lim="800000"/>
                      <a:headEnd/>
                      <a:tailEnd/>
                    </a:ln>
                  </pic:spPr>
                </pic:pic>
              </a:graphicData>
            </a:graphic>
          </wp:inline>
        </w:drawing>
      </w:r>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5" w:history="1">
        <w:r w:rsidR="005F29C4" w:rsidRPr="005F29C4">
          <w:rPr>
            <w:rFonts w:ascii="Arial" w:eastAsia="Times New Roman" w:hAnsi="Arial" w:cs="Arial"/>
            <w:vanish/>
            <w:color w:val="2895D5"/>
            <w:sz w:val="13"/>
          </w:rPr>
          <w:t>About Partners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6" w:history="1">
        <w:r w:rsidR="005F29C4" w:rsidRPr="005F29C4">
          <w:rPr>
            <w:rFonts w:ascii="Arial" w:eastAsia="Times New Roman" w:hAnsi="Arial" w:cs="Arial"/>
            <w:vanish/>
            <w:color w:val="2895D5"/>
            <w:sz w:val="13"/>
          </w:rPr>
          <w:t>Solutions Catalog</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7" w:history="1">
        <w:r w:rsidR="005F29C4" w:rsidRPr="005F29C4">
          <w:rPr>
            <w:rFonts w:ascii="Arial" w:eastAsia="Times New Roman" w:hAnsi="Arial" w:cs="Arial"/>
            <w:vanish/>
            <w:color w:val="2895D5"/>
            <w:sz w:val="13"/>
          </w:rPr>
          <w:t>System Integrators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8" w:history="1">
        <w:r w:rsidR="005F29C4" w:rsidRPr="005F29C4">
          <w:rPr>
            <w:rFonts w:ascii="Arial" w:eastAsia="Times New Roman" w:hAnsi="Arial" w:cs="Arial"/>
            <w:vanish/>
            <w:color w:val="2895D5"/>
            <w:sz w:val="13"/>
          </w:rPr>
          <w:t>Technology Partners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19" w:history="1">
        <w:r w:rsidR="005F29C4" w:rsidRPr="005F29C4">
          <w:rPr>
            <w:rFonts w:ascii="Arial" w:eastAsia="Times New Roman" w:hAnsi="Arial" w:cs="Arial"/>
            <w:vanish/>
            <w:color w:val="2895D5"/>
            <w:sz w:val="13"/>
          </w:rPr>
          <w:t>Resellers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0" w:history="1">
        <w:r w:rsidR="005F29C4" w:rsidRPr="005F29C4">
          <w:rPr>
            <w:rFonts w:ascii="Arial" w:eastAsia="Times New Roman" w:hAnsi="Arial" w:cs="Arial"/>
            <w:vanish/>
            <w:color w:val="2895D5"/>
            <w:sz w:val="13"/>
          </w:rPr>
          <w:t>Become a Partner</w:t>
        </w:r>
      </w:hyperlink>
    </w:p>
    <w:p w:rsidR="005F29C4" w:rsidRPr="005F29C4" w:rsidRDefault="005F29C4" w:rsidP="005F29C4">
      <w:pPr>
        <w:numPr>
          <w:ilvl w:val="0"/>
          <w:numId w:val="2"/>
        </w:numPr>
        <w:shd w:val="clear" w:color="auto" w:fill="FFFFFF"/>
        <w:spacing w:before="100" w:beforeAutospacing="1" w:after="100" w:afterAutospacing="1" w:line="240" w:lineRule="auto"/>
        <w:ind w:left="1440"/>
        <w:rPr>
          <w:rFonts w:ascii="Arial" w:eastAsia="Times New Roman" w:hAnsi="Arial" w:cs="Arial"/>
          <w:vanish/>
          <w:color w:val="666666"/>
          <w:sz w:val="13"/>
          <w:szCs w:val="13"/>
        </w:rPr>
      </w:pPr>
    </w:p>
    <w:p w:rsidR="005F29C4" w:rsidRPr="005F29C4" w:rsidRDefault="005F29C4"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r>
        <w:rPr>
          <w:rFonts w:ascii="Arial" w:eastAsia="Times New Roman" w:hAnsi="Arial" w:cs="Arial"/>
          <w:noProof/>
          <w:vanish/>
          <w:color w:val="666666"/>
          <w:sz w:val="13"/>
          <w:szCs w:val="13"/>
        </w:rPr>
        <w:drawing>
          <wp:inline distT="0" distB="0" distL="0" distR="0">
            <wp:extent cx="1188720" cy="518160"/>
            <wp:effectExtent l="19050" t="0" r="0" b="0"/>
            <wp:docPr id="6" name="Picture 6" descr="http://docushare.xerox.com/images/heade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ushare.xerox.com/images/header6.gif"/>
                    <pic:cNvPicPr>
                      <a:picLocks noChangeAspect="1" noChangeArrowheads="1"/>
                    </pic:cNvPicPr>
                  </pic:nvPicPr>
                  <pic:blipFill>
                    <a:blip r:embed="rId21" cstate="print"/>
                    <a:srcRect/>
                    <a:stretch>
                      <a:fillRect/>
                    </a:stretch>
                  </pic:blipFill>
                  <pic:spPr bwMode="auto">
                    <a:xfrm>
                      <a:off x="0" y="0"/>
                      <a:ext cx="1188720" cy="518160"/>
                    </a:xfrm>
                    <a:prstGeom prst="rect">
                      <a:avLst/>
                    </a:prstGeom>
                    <a:noFill/>
                    <a:ln w="9525">
                      <a:noFill/>
                      <a:miter lim="800000"/>
                      <a:headEnd/>
                      <a:tailEnd/>
                    </a:ln>
                  </pic:spPr>
                </pic:pic>
              </a:graphicData>
            </a:graphic>
          </wp:inline>
        </w:drawing>
      </w:r>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2" w:history="1">
        <w:r w:rsidR="005F29C4" w:rsidRPr="005F29C4">
          <w:rPr>
            <w:rFonts w:ascii="Arial" w:eastAsia="Times New Roman" w:hAnsi="Arial" w:cs="Arial"/>
            <w:vanish/>
            <w:color w:val="2895D5"/>
            <w:sz w:val="13"/>
          </w:rPr>
          <w:t>Brochures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3" w:history="1">
        <w:r w:rsidR="005F29C4" w:rsidRPr="005F29C4">
          <w:rPr>
            <w:rFonts w:ascii="Arial" w:eastAsia="Times New Roman" w:hAnsi="Arial" w:cs="Arial"/>
            <w:vanish/>
            <w:color w:val="2895D5"/>
            <w:sz w:val="13"/>
          </w:rPr>
          <w:t>Case Studies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4" w:history="1">
        <w:r w:rsidR="005F29C4" w:rsidRPr="005F29C4">
          <w:rPr>
            <w:rFonts w:ascii="Arial" w:eastAsia="Times New Roman" w:hAnsi="Arial" w:cs="Arial"/>
            <w:vanish/>
            <w:color w:val="2895D5"/>
            <w:sz w:val="13"/>
          </w:rPr>
          <w:t>Customer Support</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5" w:history="1">
        <w:r w:rsidR="005F29C4" w:rsidRPr="005F29C4">
          <w:rPr>
            <w:rFonts w:ascii="Arial" w:eastAsia="Times New Roman" w:hAnsi="Arial" w:cs="Arial"/>
            <w:vanish/>
            <w:color w:val="2895D5"/>
            <w:sz w:val="13"/>
          </w:rPr>
          <w:t>Demos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6" w:history="1">
        <w:r w:rsidR="005F29C4" w:rsidRPr="005F29C4">
          <w:rPr>
            <w:rFonts w:ascii="Arial" w:eastAsia="Times New Roman" w:hAnsi="Arial" w:cs="Arial"/>
            <w:vanish/>
            <w:color w:val="2895D5"/>
            <w:sz w:val="13"/>
          </w:rPr>
          <w:t>Events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7" w:history="1">
        <w:r w:rsidR="005F29C4" w:rsidRPr="005F29C4">
          <w:rPr>
            <w:rFonts w:ascii="Arial" w:eastAsia="Times New Roman" w:hAnsi="Arial" w:cs="Arial"/>
            <w:vanish/>
            <w:color w:val="2895D5"/>
            <w:sz w:val="13"/>
          </w:rPr>
          <w:t>Training</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8" w:history="1">
        <w:r w:rsidR="005F29C4" w:rsidRPr="005F29C4">
          <w:rPr>
            <w:rFonts w:ascii="Arial" w:eastAsia="Times New Roman" w:hAnsi="Arial" w:cs="Arial"/>
            <w:vanish/>
            <w:color w:val="2895D5"/>
            <w:sz w:val="13"/>
          </w:rPr>
          <w:t>Video Case Studies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29" w:history="1">
        <w:r w:rsidR="005F29C4" w:rsidRPr="005F29C4">
          <w:rPr>
            <w:rFonts w:ascii="Arial" w:eastAsia="Times New Roman" w:hAnsi="Arial" w:cs="Arial"/>
            <w:vanish/>
            <w:color w:val="2895D5"/>
            <w:sz w:val="13"/>
          </w:rPr>
          <w:t>Webinars/Podcasts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30" w:history="1">
        <w:r w:rsidR="005F29C4" w:rsidRPr="005F29C4">
          <w:rPr>
            <w:rFonts w:ascii="Arial" w:eastAsia="Times New Roman" w:hAnsi="Arial" w:cs="Arial"/>
            <w:vanish/>
            <w:color w:val="2895D5"/>
            <w:sz w:val="13"/>
          </w:rPr>
          <w:t>White Papers</w:t>
        </w:r>
      </w:hyperlink>
    </w:p>
    <w:p w:rsidR="005F29C4" w:rsidRPr="005F29C4" w:rsidRDefault="005F29C4" w:rsidP="005F29C4">
      <w:pPr>
        <w:numPr>
          <w:ilvl w:val="0"/>
          <w:numId w:val="2"/>
        </w:numPr>
        <w:shd w:val="clear" w:color="auto" w:fill="FFFFFF"/>
        <w:spacing w:before="100" w:beforeAutospacing="1" w:after="100" w:afterAutospacing="1" w:line="240" w:lineRule="auto"/>
        <w:ind w:left="1440"/>
        <w:rPr>
          <w:rFonts w:ascii="Arial" w:eastAsia="Times New Roman" w:hAnsi="Arial" w:cs="Arial"/>
          <w:vanish/>
          <w:color w:val="666666"/>
          <w:sz w:val="13"/>
          <w:szCs w:val="13"/>
        </w:rPr>
      </w:pPr>
    </w:p>
    <w:p w:rsidR="005F29C4" w:rsidRPr="005F29C4" w:rsidRDefault="005F29C4"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r>
        <w:rPr>
          <w:rFonts w:ascii="Arial" w:eastAsia="Times New Roman" w:hAnsi="Arial" w:cs="Arial"/>
          <w:noProof/>
          <w:vanish/>
          <w:color w:val="666666"/>
          <w:sz w:val="13"/>
          <w:szCs w:val="13"/>
        </w:rPr>
        <w:drawing>
          <wp:inline distT="0" distB="0" distL="0" distR="0">
            <wp:extent cx="1219200" cy="518160"/>
            <wp:effectExtent l="19050" t="0" r="0" b="0"/>
            <wp:docPr id="7" name="Picture 7" descr="http://docushare.xerox.com/images/heade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ushare.xerox.com/images/header7.gif"/>
                    <pic:cNvPicPr>
                      <a:picLocks noChangeAspect="1" noChangeArrowheads="1"/>
                    </pic:cNvPicPr>
                  </pic:nvPicPr>
                  <pic:blipFill>
                    <a:blip r:embed="rId31" cstate="print"/>
                    <a:srcRect/>
                    <a:stretch>
                      <a:fillRect/>
                    </a:stretch>
                  </pic:blipFill>
                  <pic:spPr bwMode="auto">
                    <a:xfrm>
                      <a:off x="0" y="0"/>
                      <a:ext cx="1219200" cy="518160"/>
                    </a:xfrm>
                    <a:prstGeom prst="rect">
                      <a:avLst/>
                    </a:prstGeom>
                    <a:noFill/>
                    <a:ln w="9525">
                      <a:noFill/>
                      <a:miter lim="800000"/>
                      <a:headEnd/>
                      <a:tailEnd/>
                    </a:ln>
                  </pic:spPr>
                </pic:pic>
              </a:graphicData>
            </a:graphic>
          </wp:inline>
        </w:drawing>
      </w:r>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32" w:history="1">
        <w:r w:rsidR="005F29C4" w:rsidRPr="005F29C4">
          <w:rPr>
            <w:rFonts w:ascii="Arial" w:eastAsia="Times New Roman" w:hAnsi="Arial" w:cs="Arial"/>
            <w:vanish/>
            <w:color w:val="2895D5"/>
            <w:sz w:val="13"/>
          </w:rPr>
          <w:t>Articles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33" w:history="1">
        <w:r w:rsidR="005F29C4" w:rsidRPr="005F29C4">
          <w:rPr>
            <w:rFonts w:ascii="Arial" w:eastAsia="Times New Roman" w:hAnsi="Arial" w:cs="Arial"/>
            <w:vanish/>
            <w:color w:val="2895D5"/>
            <w:sz w:val="13"/>
          </w:rPr>
          <w:t>Awards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34" w:history="1">
        <w:r w:rsidR="005F29C4" w:rsidRPr="005F29C4">
          <w:rPr>
            <w:rFonts w:ascii="Arial" w:eastAsia="Times New Roman" w:hAnsi="Arial" w:cs="Arial"/>
            <w:vanish/>
            <w:color w:val="2895D5"/>
            <w:sz w:val="13"/>
          </w:rPr>
          <w:t>Industry Analysts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35" w:history="1">
        <w:r w:rsidR="005F29C4" w:rsidRPr="005F29C4">
          <w:rPr>
            <w:rFonts w:ascii="Arial" w:eastAsia="Times New Roman" w:hAnsi="Arial" w:cs="Arial"/>
            <w:vanish/>
            <w:color w:val="2895D5"/>
            <w:sz w:val="13"/>
          </w:rPr>
          <w:t>News Releases</w:t>
        </w:r>
      </w:hyperlink>
    </w:p>
    <w:p w:rsidR="005F29C4" w:rsidRPr="005F29C4" w:rsidRDefault="003D1643" w:rsidP="005F29C4">
      <w:pPr>
        <w:numPr>
          <w:ilvl w:val="1"/>
          <w:numId w:val="2"/>
        </w:numPr>
        <w:shd w:val="clear" w:color="auto" w:fill="FFFFFF"/>
        <w:spacing w:before="100" w:beforeAutospacing="1" w:after="100" w:afterAutospacing="1" w:line="240" w:lineRule="auto"/>
        <w:rPr>
          <w:rFonts w:ascii="Arial" w:eastAsia="Times New Roman" w:hAnsi="Arial" w:cs="Arial"/>
          <w:vanish/>
          <w:color w:val="666666"/>
          <w:sz w:val="13"/>
          <w:szCs w:val="13"/>
        </w:rPr>
      </w:pPr>
      <w:hyperlink r:id="rId36" w:history="1">
        <w:r w:rsidR="005F29C4" w:rsidRPr="005F29C4">
          <w:rPr>
            <w:rFonts w:ascii="Arial" w:eastAsia="Times New Roman" w:hAnsi="Arial" w:cs="Arial"/>
            <w:vanish/>
            <w:color w:val="2895D5"/>
            <w:sz w:val="13"/>
          </w:rPr>
          <w:t>Newsletters</w:t>
        </w:r>
      </w:hyperlink>
    </w:p>
    <w:tbl>
      <w:tblPr>
        <w:tblW w:w="9432" w:type="dxa"/>
        <w:jc w:val="center"/>
        <w:tblCellSpacing w:w="0" w:type="dxa"/>
        <w:tblCellMar>
          <w:left w:w="0" w:type="dxa"/>
          <w:right w:w="0" w:type="dxa"/>
        </w:tblCellMar>
        <w:tblLook w:val="04A0"/>
      </w:tblPr>
      <w:tblGrid>
        <w:gridCol w:w="6250"/>
        <w:gridCol w:w="3182"/>
      </w:tblGrid>
      <w:tr w:rsidR="005F29C4" w:rsidRPr="005F29C4" w:rsidTr="005F29C4">
        <w:trPr>
          <w:tblCellSpacing w:w="0" w:type="dxa"/>
          <w:jc w:val="center"/>
        </w:trPr>
        <w:tc>
          <w:tcPr>
            <w:tcW w:w="0" w:type="auto"/>
            <w:tcMar>
              <w:top w:w="36" w:type="dxa"/>
              <w:left w:w="36" w:type="dxa"/>
              <w:bottom w:w="36" w:type="dxa"/>
              <w:right w:w="36" w:type="dxa"/>
            </w:tcMar>
            <w:hideMark/>
          </w:tcPr>
          <w:p w:rsidR="005F29C4" w:rsidRPr="00DC0F66" w:rsidRDefault="005F29C4" w:rsidP="005F29C4">
            <w:pPr>
              <w:spacing w:after="0" w:line="240" w:lineRule="auto"/>
              <w:rPr>
                <w:rFonts w:ascii="Times New Roman" w:eastAsia="Times New Roman" w:hAnsi="Times New Roman" w:cs="Times New Roman"/>
                <w:i/>
                <w:sz w:val="24"/>
                <w:szCs w:val="24"/>
              </w:rPr>
            </w:pPr>
            <w:r w:rsidRPr="00DC0F66">
              <w:rPr>
                <w:rFonts w:ascii="Arial" w:eastAsia="Times New Roman" w:hAnsi="Arial" w:cs="Arial"/>
                <w:i/>
                <w:noProof/>
                <w:sz w:val="14"/>
                <w:szCs w:val="14"/>
              </w:rPr>
              <w:drawing>
                <wp:inline distT="0" distB="0" distL="0" distR="0">
                  <wp:extent cx="3676650" cy="2345763"/>
                  <wp:effectExtent l="19050" t="0" r="0" b="0"/>
                  <wp:docPr id="8" name="Picture 8" descr="Green Business | Xerox Docu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Business | Xerox DocuShare"/>
                          <pic:cNvPicPr>
                            <a:picLocks noChangeAspect="1" noChangeArrowheads="1"/>
                          </pic:cNvPicPr>
                        </pic:nvPicPr>
                        <pic:blipFill>
                          <a:blip r:embed="rId37" cstate="print"/>
                          <a:srcRect/>
                          <a:stretch>
                            <a:fillRect/>
                          </a:stretch>
                        </pic:blipFill>
                        <pic:spPr bwMode="auto">
                          <a:xfrm>
                            <a:off x="0" y="0"/>
                            <a:ext cx="3676650" cy="2345763"/>
                          </a:xfrm>
                          <a:prstGeom prst="rect">
                            <a:avLst/>
                          </a:prstGeom>
                          <a:noFill/>
                          <a:ln w="9525">
                            <a:noFill/>
                            <a:miter lim="800000"/>
                            <a:headEnd/>
                            <a:tailEnd/>
                          </a:ln>
                        </pic:spPr>
                      </pic:pic>
                    </a:graphicData>
                  </a:graphic>
                </wp:inline>
              </w:drawing>
            </w:r>
          </w:p>
          <w:tbl>
            <w:tblPr>
              <w:tblW w:w="5808" w:type="dxa"/>
              <w:tblCellSpacing w:w="0" w:type="dxa"/>
              <w:tblCellMar>
                <w:top w:w="60" w:type="dxa"/>
                <w:left w:w="60" w:type="dxa"/>
                <w:bottom w:w="60" w:type="dxa"/>
                <w:right w:w="60" w:type="dxa"/>
              </w:tblCellMar>
              <w:tblLook w:val="04A0"/>
            </w:tblPr>
            <w:tblGrid>
              <w:gridCol w:w="5808"/>
            </w:tblGrid>
            <w:tr w:rsidR="005F29C4" w:rsidRPr="005F29C4">
              <w:trPr>
                <w:tblCellSpacing w:w="0" w:type="dxa"/>
              </w:trPr>
              <w:tc>
                <w:tcPr>
                  <w:tcW w:w="0" w:type="auto"/>
                  <w:tcMar>
                    <w:top w:w="36" w:type="dxa"/>
                    <w:left w:w="36" w:type="dxa"/>
                    <w:bottom w:w="36" w:type="dxa"/>
                    <w:right w:w="36" w:type="dxa"/>
                  </w:tcMar>
                  <w:hideMark/>
                </w:tcPr>
                <w:tbl>
                  <w:tblPr>
                    <w:tblW w:w="5724" w:type="dxa"/>
                    <w:tblCellSpacing w:w="0" w:type="dxa"/>
                    <w:tblCellMar>
                      <w:left w:w="0" w:type="dxa"/>
                      <w:right w:w="0" w:type="dxa"/>
                    </w:tblCellMar>
                    <w:tblLook w:val="04A0"/>
                  </w:tblPr>
                  <w:tblGrid>
                    <w:gridCol w:w="5724"/>
                  </w:tblGrid>
                  <w:tr w:rsidR="005F29C4" w:rsidRPr="005F29C4">
                    <w:trPr>
                      <w:tblCellSpacing w:w="0" w:type="dxa"/>
                    </w:trPr>
                    <w:tc>
                      <w:tcPr>
                        <w:tcW w:w="5616" w:type="dxa"/>
                        <w:tcMar>
                          <w:top w:w="36" w:type="dxa"/>
                          <w:left w:w="36" w:type="dxa"/>
                          <w:bottom w:w="36" w:type="dxa"/>
                          <w:right w:w="36" w:type="dxa"/>
                        </w:tcMar>
                        <w:hideMark/>
                      </w:tcPr>
                      <w:p w:rsidR="005F29C4" w:rsidRPr="005F29C4" w:rsidRDefault="005F29C4" w:rsidP="005F29C4">
                        <w:pPr>
                          <w:spacing w:before="100" w:beforeAutospacing="1" w:after="100" w:afterAutospacing="1" w:line="192" w:lineRule="atLeast"/>
                          <w:rPr>
                            <w:rFonts w:ascii="Arial" w:eastAsia="Times New Roman" w:hAnsi="Arial" w:cs="Arial"/>
                            <w:i/>
                            <w:color w:val="333333"/>
                            <w:sz w:val="20"/>
                            <w:szCs w:val="20"/>
                          </w:rPr>
                        </w:pPr>
                        <w:r w:rsidRPr="005F29C4">
                          <w:rPr>
                            <w:rFonts w:ascii="Arial" w:eastAsia="Times New Roman" w:hAnsi="Arial" w:cs="Arial"/>
                            <w:i/>
                            <w:color w:val="333333"/>
                            <w:sz w:val="20"/>
                            <w:szCs w:val="20"/>
                          </w:rPr>
                          <w:t xml:space="preserve">As early </w:t>
                        </w:r>
                        <w:r w:rsidRPr="00DC0F66">
                          <w:rPr>
                            <w:rFonts w:ascii="Arial" w:eastAsia="Times New Roman" w:hAnsi="Arial" w:cs="Arial"/>
                            <w:i/>
                            <w:color w:val="333333"/>
                            <w:sz w:val="20"/>
                            <w:szCs w:val="20"/>
                          </w:rPr>
                          <w:t>as 1977</w:t>
                        </w:r>
                        <w:r w:rsidRPr="005F29C4">
                          <w:rPr>
                            <w:rFonts w:ascii="Arial" w:eastAsia="Times New Roman" w:hAnsi="Arial" w:cs="Arial"/>
                            <w:i/>
                            <w:color w:val="333333"/>
                            <w:sz w:val="20"/>
                            <w:szCs w:val="20"/>
                          </w:rPr>
                          <w:t xml:space="preserve">, </w:t>
                        </w:r>
                        <w:r w:rsidRPr="00DC0F66">
                          <w:rPr>
                            <w:rFonts w:ascii="Arial" w:eastAsia="Times New Roman" w:hAnsi="Arial" w:cs="Arial"/>
                            <w:i/>
                            <w:color w:val="333333"/>
                            <w:sz w:val="20"/>
                            <w:szCs w:val="20"/>
                          </w:rPr>
                          <w:t>GSA Business Support</w:t>
                        </w:r>
                        <w:r w:rsidRPr="005F29C4">
                          <w:rPr>
                            <w:rFonts w:ascii="Arial" w:eastAsia="Times New Roman" w:hAnsi="Arial" w:cs="Arial"/>
                            <w:i/>
                            <w:color w:val="333333"/>
                            <w:sz w:val="20"/>
                            <w:szCs w:val="20"/>
                          </w:rPr>
                          <w:t xml:space="preserve"> was a pioneer in sustainability. We introduced the two-sided copier </w:t>
                        </w:r>
                        <w:r w:rsidRPr="00DC0F66">
                          <w:rPr>
                            <w:rFonts w:ascii="Arial" w:eastAsia="Times New Roman" w:hAnsi="Arial" w:cs="Arial"/>
                            <w:i/>
                            <w:color w:val="333333"/>
                            <w:sz w:val="20"/>
                            <w:szCs w:val="20"/>
                          </w:rPr>
                          <w:t xml:space="preserve">into use </w:t>
                        </w:r>
                        <w:r w:rsidRPr="005F29C4">
                          <w:rPr>
                            <w:rFonts w:ascii="Arial" w:eastAsia="Times New Roman" w:hAnsi="Arial" w:cs="Arial"/>
                            <w:i/>
                            <w:color w:val="333333"/>
                            <w:sz w:val="20"/>
                            <w:szCs w:val="20"/>
                          </w:rPr>
                          <w:t xml:space="preserve">and </w:t>
                        </w:r>
                        <w:r w:rsidRPr="00DC0F66">
                          <w:rPr>
                            <w:rFonts w:ascii="Arial" w:eastAsia="Times New Roman" w:hAnsi="Arial" w:cs="Arial"/>
                            <w:i/>
                            <w:color w:val="333333"/>
                            <w:sz w:val="20"/>
                            <w:szCs w:val="20"/>
                          </w:rPr>
                          <w:t xml:space="preserve">selected copier systems that </w:t>
                        </w:r>
                        <w:r w:rsidR="00C36C43" w:rsidRPr="00DC0F66">
                          <w:rPr>
                            <w:rFonts w:ascii="Arial" w:eastAsia="Times New Roman" w:hAnsi="Arial" w:cs="Arial"/>
                            <w:i/>
                            <w:color w:val="333333"/>
                            <w:sz w:val="20"/>
                            <w:szCs w:val="20"/>
                          </w:rPr>
                          <w:t xml:space="preserve">featured </w:t>
                        </w:r>
                        <w:r w:rsidR="00C36C43" w:rsidRPr="005F29C4">
                          <w:rPr>
                            <w:rFonts w:ascii="Arial" w:eastAsia="Times New Roman" w:hAnsi="Arial" w:cs="Arial"/>
                            <w:i/>
                            <w:color w:val="333333"/>
                            <w:sz w:val="20"/>
                            <w:szCs w:val="20"/>
                          </w:rPr>
                          <w:t>the</w:t>
                        </w:r>
                        <w:r w:rsidRPr="005F29C4">
                          <w:rPr>
                            <w:rFonts w:ascii="Arial" w:eastAsia="Times New Roman" w:hAnsi="Arial" w:cs="Arial"/>
                            <w:i/>
                            <w:color w:val="333333"/>
                            <w:sz w:val="20"/>
                            <w:szCs w:val="20"/>
                          </w:rPr>
                          <w:t xml:space="preserve"> Energy Star® program. Through the years, we </w:t>
                        </w:r>
                        <w:r w:rsidRPr="00DC0F66">
                          <w:rPr>
                            <w:rFonts w:ascii="Arial" w:eastAsia="Times New Roman" w:hAnsi="Arial" w:cs="Arial"/>
                            <w:i/>
                            <w:color w:val="333333"/>
                            <w:sz w:val="20"/>
                            <w:szCs w:val="20"/>
                          </w:rPr>
                          <w:t xml:space="preserve">have </w:t>
                        </w:r>
                        <w:r w:rsidR="00C36C43" w:rsidRPr="00DC0F66">
                          <w:rPr>
                            <w:rFonts w:ascii="Arial" w:eastAsia="Times New Roman" w:hAnsi="Arial" w:cs="Arial"/>
                            <w:i/>
                            <w:color w:val="333333"/>
                            <w:sz w:val="20"/>
                            <w:szCs w:val="20"/>
                          </w:rPr>
                          <w:t>used equipment</w:t>
                        </w:r>
                        <w:r w:rsidRPr="005F29C4">
                          <w:rPr>
                            <w:rFonts w:ascii="Arial" w:eastAsia="Times New Roman" w:hAnsi="Arial" w:cs="Arial"/>
                            <w:i/>
                            <w:color w:val="333333"/>
                            <w:sz w:val="20"/>
                            <w:szCs w:val="20"/>
                          </w:rPr>
                          <w:t xml:space="preserve">, inks, recycled papers, and processes that reduce energy consumption, waste, and </w:t>
                        </w:r>
                        <w:r w:rsidRPr="00D738EA">
                          <w:rPr>
                            <w:rFonts w:ascii="Arial" w:eastAsia="Times New Roman" w:hAnsi="Arial" w:cs="Arial"/>
                            <w:i/>
                            <w:color w:val="333333"/>
                            <w:sz w:val="20"/>
                            <w:szCs w:val="20"/>
                          </w:rPr>
                          <w:t>toxins</w:t>
                        </w:r>
                        <w:r w:rsidRPr="005F29C4">
                          <w:rPr>
                            <w:rFonts w:ascii="Arial" w:eastAsia="Times New Roman" w:hAnsi="Arial" w:cs="Arial"/>
                            <w:i/>
                            <w:color w:val="333333"/>
                            <w:sz w:val="20"/>
                            <w:szCs w:val="20"/>
                          </w:rPr>
                          <w:t xml:space="preserve"> (such as PBTs) throughout the supply chain. </w:t>
                        </w:r>
                        <w:r w:rsidRPr="00DC0F66">
                          <w:rPr>
                            <w:rFonts w:ascii="Arial" w:eastAsia="Times New Roman" w:hAnsi="Arial" w:cs="Arial"/>
                            <w:i/>
                            <w:color w:val="333333"/>
                            <w:sz w:val="20"/>
                            <w:szCs w:val="20"/>
                          </w:rPr>
                          <w:t xml:space="preserve">Our </w:t>
                        </w:r>
                        <w:hyperlink r:id="rId38" w:history="1">
                          <w:r w:rsidRPr="00D738EA">
                            <w:rPr>
                              <w:rStyle w:val="Hyperlink"/>
                              <w:rFonts w:ascii="Arial" w:eastAsia="Times New Roman" w:hAnsi="Arial" w:cs="Arial"/>
                              <w:i/>
                              <w:sz w:val="20"/>
                              <w:szCs w:val="20"/>
                            </w:rPr>
                            <w:t xml:space="preserve">Xerox </w:t>
                          </w:r>
                          <w:proofErr w:type="spellStart"/>
                          <w:r w:rsidRPr="00D738EA">
                            <w:rPr>
                              <w:rStyle w:val="Hyperlink"/>
                              <w:rFonts w:ascii="Arial" w:eastAsia="Times New Roman" w:hAnsi="Arial" w:cs="Arial"/>
                              <w:i/>
                              <w:sz w:val="20"/>
                              <w:szCs w:val="20"/>
                            </w:rPr>
                            <w:t>DocuShare</w:t>
                          </w:r>
                          <w:proofErr w:type="spellEnd"/>
                        </w:hyperlink>
                        <w:r w:rsidRPr="005F29C4">
                          <w:rPr>
                            <w:rFonts w:ascii="Arial" w:eastAsia="Times New Roman" w:hAnsi="Arial" w:cs="Arial"/>
                            <w:i/>
                            <w:color w:val="333333"/>
                            <w:sz w:val="20"/>
                            <w:szCs w:val="20"/>
                          </w:rPr>
                          <w:t xml:space="preserve"> </w:t>
                        </w:r>
                        <w:r w:rsidRPr="00DC0F66">
                          <w:rPr>
                            <w:rFonts w:ascii="Arial" w:eastAsia="Times New Roman" w:hAnsi="Arial" w:cs="Arial"/>
                            <w:i/>
                            <w:color w:val="333333"/>
                            <w:sz w:val="20"/>
                            <w:szCs w:val="20"/>
                          </w:rPr>
                          <w:t xml:space="preserve">content management system </w:t>
                        </w:r>
                        <w:r w:rsidR="00C36C43" w:rsidRPr="00DC0F66">
                          <w:rPr>
                            <w:rFonts w:ascii="Arial" w:eastAsia="Times New Roman" w:hAnsi="Arial" w:cs="Arial"/>
                            <w:i/>
                            <w:color w:val="333333"/>
                            <w:sz w:val="20"/>
                            <w:szCs w:val="20"/>
                          </w:rPr>
                          <w:t>introduced ten</w:t>
                        </w:r>
                        <w:r w:rsidRPr="00DC0F66">
                          <w:rPr>
                            <w:rFonts w:ascii="Arial" w:eastAsia="Times New Roman" w:hAnsi="Arial" w:cs="Arial"/>
                            <w:i/>
                            <w:color w:val="333333"/>
                            <w:sz w:val="20"/>
                            <w:szCs w:val="20"/>
                          </w:rPr>
                          <w:t xml:space="preserve"> years ago </w:t>
                        </w:r>
                        <w:r w:rsidRPr="005F29C4">
                          <w:rPr>
                            <w:rFonts w:ascii="Arial" w:eastAsia="Times New Roman" w:hAnsi="Arial" w:cs="Arial"/>
                            <w:i/>
                            <w:color w:val="333333"/>
                            <w:sz w:val="20"/>
                            <w:szCs w:val="20"/>
                          </w:rPr>
                          <w:t xml:space="preserve">is another powerful tool that helps </w:t>
                        </w:r>
                        <w:r w:rsidRPr="00DC0F66">
                          <w:rPr>
                            <w:rFonts w:ascii="Arial" w:eastAsia="Times New Roman" w:hAnsi="Arial" w:cs="Arial"/>
                            <w:i/>
                            <w:color w:val="333333"/>
                            <w:sz w:val="20"/>
                            <w:szCs w:val="20"/>
                          </w:rPr>
                          <w:t>the County</w:t>
                        </w:r>
                        <w:r w:rsidRPr="005F29C4">
                          <w:rPr>
                            <w:rFonts w:ascii="Arial" w:eastAsia="Times New Roman" w:hAnsi="Arial" w:cs="Arial"/>
                            <w:i/>
                            <w:color w:val="333333"/>
                            <w:sz w:val="20"/>
                            <w:szCs w:val="20"/>
                          </w:rPr>
                          <w:t xml:space="preserve"> and our customers preserve the environment. </w:t>
                        </w:r>
                      </w:p>
                      <w:p w:rsidR="005F29C4" w:rsidRPr="005F29C4" w:rsidRDefault="005F29C4" w:rsidP="005F29C4">
                        <w:pPr>
                          <w:spacing w:before="100" w:beforeAutospacing="1" w:after="100" w:afterAutospacing="1" w:line="192" w:lineRule="atLeast"/>
                          <w:rPr>
                            <w:rFonts w:ascii="Arial" w:eastAsia="Times New Roman" w:hAnsi="Arial" w:cs="Arial"/>
                            <w:i/>
                            <w:color w:val="333333"/>
                            <w:sz w:val="20"/>
                            <w:szCs w:val="20"/>
                          </w:rPr>
                        </w:pPr>
                        <w:proofErr w:type="spellStart"/>
                        <w:r w:rsidRPr="005F29C4">
                          <w:rPr>
                            <w:rFonts w:ascii="Arial" w:eastAsia="Times New Roman" w:hAnsi="Arial" w:cs="Arial"/>
                            <w:i/>
                            <w:color w:val="333333"/>
                            <w:sz w:val="20"/>
                            <w:szCs w:val="20"/>
                          </w:rPr>
                          <w:t>DocuShare</w:t>
                        </w:r>
                        <w:proofErr w:type="spellEnd"/>
                        <w:r w:rsidRPr="005F29C4">
                          <w:rPr>
                            <w:rFonts w:ascii="Arial" w:eastAsia="Times New Roman" w:hAnsi="Arial" w:cs="Arial"/>
                            <w:i/>
                            <w:color w:val="333333"/>
                            <w:sz w:val="20"/>
                            <w:szCs w:val="20"/>
                          </w:rPr>
                          <w:t xml:space="preserve"> enables </w:t>
                        </w:r>
                        <w:r w:rsidR="00BE4826">
                          <w:rPr>
                            <w:rFonts w:ascii="Arial" w:eastAsia="Times New Roman" w:hAnsi="Arial" w:cs="Arial"/>
                            <w:i/>
                            <w:color w:val="333333"/>
                            <w:sz w:val="20"/>
                            <w:szCs w:val="20"/>
                          </w:rPr>
                          <w:t>County departments</w:t>
                        </w:r>
                        <w:r w:rsidRPr="00DC0F66">
                          <w:rPr>
                            <w:rFonts w:ascii="Arial" w:eastAsia="Times New Roman" w:hAnsi="Arial" w:cs="Arial"/>
                            <w:i/>
                            <w:color w:val="333333"/>
                            <w:sz w:val="20"/>
                            <w:szCs w:val="20"/>
                          </w:rPr>
                          <w:t xml:space="preserve"> to achieve </w:t>
                        </w:r>
                        <w:r w:rsidRPr="005F29C4">
                          <w:rPr>
                            <w:rFonts w:ascii="Arial" w:eastAsia="Times New Roman" w:hAnsi="Arial" w:cs="Arial"/>
                            <w:i/>
                            <w:color w:val="333333"/>
                            <w:sz w:val="20"/>
                            <w:szCs w:val="20"/>
                          </w:rPr>
                          <w:t>sustainability goals by automating paper-based processes and providing secure access to important information from anywhere in the world. Remote workers, customers, partners, and vendors can get access to the information they need, when they need it. Reducing the printing and ground and air delivery of documents around the globe results in dramatically less paper and power usage, as well as reduced emissions and fuel consumption.</w:t>
                        </w:r>
                        <w:r w:rsidRPr="00DC0F66">
                          <w:rPr>
                            <w:rFonts w:ascii="Arial" w:eastAsia="Times New Roman" w:hAnsi="Arial" w:cs="Arial"/>
                            <w:i/>
                            <w:color w:val="333333"/>
                            <w:sz w:val="20"/>
                            <w:szCs w:val="20"/>
                          </w:rPr>
                          <w:t xml:space="preserve"> In so doing, we can </w:t>
                        </w:r>
                        <w:r w:rsidRPr="005F29C4">
                          <w:rPr>
                            <w:rFonts w:ascii="Arial" w:eastAsia="Times New Roman" w:hAnsi="Arial" w:cs="Arial"/>
                            <w:i/>
                            <w:color w:val="333333"/>
                            <w:sz w:val="20"/>
                            <w:szCs w:val="20"/>
                          </w:rPr>
                          <w:t xml:space="preserve">easily move closer to a paperless environment while operating more efficiently and gaining competitive advantages. </w:t>
                        </w:r>
                      </w:p>
                      <w:p w:rsidR="005F29C4" w:rsidRDefault="005F29C4" w:rsidP="005F29C4">
                        <w:pPr>
                          <w:spacing w:before="100" w:beforeAutospacing="1" w:after="100" w:afterAutospacing="1" w:line="192" w:lineRule="atLeast"/>
                          <w:rPr>
                            <w:rFonts w:ascii="Arial" w:eastAsia="Times New Roman" w:hAnsi="Arial" w:cs="Arial"/>
                            <w:i/>
                            <w:color w:val="333333"/>
                            <w:sz w:val="20"/>
                            <w:szCs w:val="20"/>
                          </w:rPr>
                        </w:pPr>
                        <w:r w:rsidRPr="005F29C4">
                          <w:rPr>
                            <w:rFonts w:ascii="Arial" w:eastAsia="Times New Roman" w:hAnsi="Arial" w:cs="Arial"/>
                            <w:i/>
                            <w:color w:val="333333"/>
                            <w:sz w:val="20"/>
                            <w:szCs w:val="20"/>
                          </w:rPr>
                          <w:t xml:space="preserve">The environmental impact is quantifiable. </w:t>
                        </w:r>
                        <w:r w:rsidRPr="00DC0F66">
                          <w:rPr>
                            <w:rFonts w:ascii="Arial" w:eastAsia="Times New Roman" w:hAnsi="Arial" w:cs="Arial"/>
                            <w:i/>
                            <w:color w:val="333333"/>
                            <w:sz w:val="20"/>
                            <w:szCs w:val="20"/>
                          </w:rPr>
                          <w:t>We are looking to</w:t>
                        </w:r>
                        <w:r w:rsidRPr="005F29C4">
                          <w:rPr>
                            <w:rFonts w:ascii="Arial" w:eastAsia="Times New Roman" w:hAnsi="Arial" w:cs="Arial"/>
                            <w:i/>
                            <w:color w:val="333333"/>
                            <w:sz w:val="20"/>
                            <w:szCs w:val="20"/>
                          </w:rPr>
                          <w:t xml:space="preserve"> reduce literally tons of paper and automobile emissions by automating paper-based processes so </w:t>
                        </w:r>
                        <w:r w:rsidR="00BE4826">
                          <w:rPr>
                            <w:rFonts w:ascii="Arial" w:eastAsia="Times New Roman" w:hAnsi="Arial" w:cs="Arial"/>
                            <w:i/>
                            <w:color w:val="333333"/>
                            <w:sz w:val="20"/>
                            <w:szCs w:val="20"/>
                          </w:rPr>
                          <w:t>departments</w:t>
                        </w:r>
                        <w:r w:rsidRPr="005F29C4">
                          <w:rPr>
                            <w:rFonts w:ascii="Arial" w:eastAsia="Times New Roman" w:hAnsi="Arial" w:cs="Arial"/>
                            <w:i/>
                            <w:color w:val="333333"/>
                            <w:sz w:val="20"/>
                            <w:szCs w:val="20"/>
                          </w:rPr>
                          <w:t xml:space="preserve"> no longer print or mail the documents that are critical to their day-to</w:t>
                        </w:r>
                        <w:r w:rsidR="00BE4826">
                          <w:rPr>
                            <w:rFonts w:ascii="Arial" w:eastAsia="Times New Roman" w:hAnsi="Arial" w:cs="Arial"/>
                            <w:i/>
                            <w:color w:val="333333"/>
                            <w:sz w:val="20"/>
                            <w:szCs w:val="20"/>
                          </w:rPr>
                          <w:t>-day processes. They also gain</w:t>
                        </w:r>
                        <w:r w:rsidRPr="005F29C4">
                          <w:rPr>
                            <w:rFonts w:ascii="Arial" w:eastAsia="Times New Roman" w:hAnsi="Arial" w:cs="Arial"/>
                            <w:i/>
                            <w:color w:val="333333"/>
                            <w:sz w:val="20"/>
                            <w:szCs w:val="20"/>
                          </w:rPr>
                          <w:t xml:space="preserve"> an added, welcome benefit—tremendous ROI. They saved hundreds of thousands of dollars while delivering greater value and service to the community and minimizing their carbon footprint. </w:t>
                        </w:r>
                      </w:p>
                      <w:p w:rsidR="00D738EA" w:rsidRPr="005F29C4" w:rsidRDefault="00D738EA" w:rsidP="005F29C4">
                        <w:pPr>
                          <w:spacing w:before="100" w:beforeAutospacing="1" w:after="100" w:afterAutospacing="1" w:line="192" w:lineRule="atLeast"/>
                          <w:rPr>
                            <w:rFonts w:ascii="Arial" w:eastAsia="Times New Roman" w:hAnsi="Arial" w:cs="Arial"/>
                            <w:i/>
                            <w:color w:val="333333"/>
                            <w:sz w:val="20"/>
                            <w:szCs w:val="20"/>
                          </w:rPr>
                        </w:pPr>
                        <w:r>
                          <w:rPr>
                            <w:rFonts w:ascii="Arial" w:eastAsia="Times New Roman" w:hAnsi="Arial" w:cs="Arial"/>
                            <w:i/>
                            <w:color w:val="333333"/>
                            <w:sz w:val="20"/>
                            <w:szCs w:val="20"/>
                          </w:rPr>
                          <w:t xml:space="preserve">Surplus property is aggressively promoted to County departments for reuse.  We also sell surplus that has not been reused </w:t>
                        </w:r>
                        <w:r w:rsidR="00BE4826">
                          <w:rPr>
                            <w:rFonts w:ascii="Arial" w:eastAsia="Times New Roman" w:hAnsi="Arial" w:cs="Arial"/>
                            <w:i/>
                            <w:color w:val="333333"/>
                            <w:sz w:val="20"/>
                            <w:szCs w:val="20"/>
                          </w:rPr>
                          <w:t xml:space="preserve">by </w:t>
                        </w:r>
                        <w:r>
                          <w:rPr>
                            <w:rFonts w:ascii="Arial" w:eastAsia="Times New Roman" w:hAnsi="Arial" w:cs="Arial"/>
                            <w:i/>
                            <w:color w:val="333333"/>
                            <w:sz w:val="20"/>
                            <w:szCs w:val="20"/>
                          </w:rPr>
                          <w:t xml:space="preserve">leveraging </w:t>
                        </w:r>
                        <w:r w:rsidR="00BE4826">
                          <w:rPr>
                            <w:rFonts w:ascii="Arial" w:eastAsia="Times New Roman" w:hAnsi="Arial" w:cs="Arial"/>
                            <w:i/>
                            <w:color w:val="333333"/>
                            <w:sz w:val="20"/>
                            <w:szCs w:val="20"/>
                          </w:rPr>
                          <w:t xml:space="preserve">powerful </w:t>
                        </w:r>
                        <w:hyperlink r:id="rId39" w:history="1">
                          <w:r w:rsidRPr="00D738EA">
                            <w:rPr>
                              <w:rStyle w:val="Hyperlink"/>
                              <w:rFonts w:ascii="Arial" w:eastAsia="Times New Roman" w:hAnsi="Arial" w:cs="Arial"/>
                              <w:i/>
                              <w:sz w:val="20"/>
                              <w:szCs w:val="20"/>
                            </w:rPr>
                            <w:t>web auction</w:t>
                          </w:r>
                        </w:hyperlink>
                        <w:r>
                          <w:rPr>
                            <w:rFonts w:ascii="Arial" w:eastAsia="Times New Roman" w:hAnsi="Arial" w:cs="Arial"/>
                            <w:i/>
                            <w:color w:val="333333"/>
                            <w:sz w:val="20"/>
                            <w:szCs w:val="20"/>
                          </w:rPr>
                          <w:t xml:space="preserve"> tools.  These efforts directly generated over $160,000 in value to the County in FY 2009-10.</w:t>
                        </w:r>
                      </w:p>
                      <w:p w:rsidR="005F29C4" w:rsidRPr="005F29C4" w:rsidRDefault="005F29C4" w:rsidP="00DC0F66">
                        <w:pPr>
                          <w:spacing w:before="100" w:beforeAutospacing="1" w:after="100" w:afterAutospacing="1" w:line="192" w:lineRule="atLeast"/>
                          <w:rPr>
                            <w:rFonts w:ascii="Arial" w:eastAsia="Times New Roman" w:hAnsi="Arial" w:cs="Arial"/>
                            <w:i/>
                            <w:color w:val="333333"/>
                            <w:sz w:val="20"/>
                            <w:szCs w:val="20"/>
                          </w:rPr>
                        </w:pPr>
                        <w:r w:rsidRPr="005F29C4">
                          <w:rPr>
                            <w:rFonts w:ascii="Arial" w:eastAsia="Times New Roman" w:hAnsi="Arial" w:cs="Arial"/>
                            <w:i/>
                            <w:color w:val="333333"/>
                            <w:sz w:val="20"/>
                            <w:szCs w:val="20"/>
                          </w:rPr>
                          <w:t xml:space="preserve">Learn how </w:t>
                        </w:r>
                        <w:hyperlink r:id="rId40" w:history="1">
                          <w:r w:rsidR="00DC0F66" w:rsidRPr="00C36C43">
                            <w:rPr>
                              <w:rFonts w:ascii="Arial" w:eastAsia="Times New Roman" w:hAnsi="Arial" w:cs="Arial"/>
                              <w:i/>
                              <w:color w:val="333333"/>
                              <w:sz w:val="20"/>
                              <w:szCs w:val="20"/>
                            </w:rPr>
                            <w:t>GSA Business Support stra</w:t>
                          </w:r>
                          <w:r w:rsidR="00C36C43">
                            <w:rPr>
                              <w:rFonts w:ascii="Arial" w:eastAsia="Times New Roman" w:hAnsi="Arial" w:cs="Arial"/>
                              <w:i/>
                              <w:color w:val="333333"/>
                              <w:sz w:val="20"/>
                              <w:szCs w:val="20"/>
                            </w:rPr>
                            <w:t>te</w:t>
                          </w:r>
                          <w:r w:rsidR="00DC0F66" w:rsidRPr="00C36C43">
                            <w:rPr>
                              <w:rFonts w:ascii="Arial" w:eastAsia="Times New Roman" w:hAnsi="Arial" w:cs="Arial"/>
                              <w:i/>
                              <w:color w:val="333333"/>
                              <w:sz w:val="20"/>
                              <w:szCs w:val="20"/>
                            </w:rPr>
                            <w:t>gies and</w:t>
                          </w:r>
                          <w:r w:rsidRPr="00C36C43">
                            <w:rPr>
                              <w:rFonts w:ascii="Arial" w:eastAsia="Times New Roman" w:hAnsi="Arial" w:cs="Arial"/>
                              <w:i/>
                              <w:color w:val="333333"/>
                              <w:sz w:val="20"/>
                              <w:szCs w:val="20"/>
                            </w:rPr>
                            <w:t xml:space="preserve"> practices </w:t>
                          </w:r>
                        </w:hyperlink>
                        <w:r w:rsidRPr="005F29C4">
                          <w:rPr>
                            <w:rFonts w:ascii="Arial" w:eastAsia="Times New Roman" w:hAnsi="Arial" w:cs="Arial"/>
                            <w:i/>
                            <w:color w:val="333333"/>
                            <w:sz w:val="20"/>
                            <w:szCs w:val="20"/>
                          </w:rPr>
                          <w:t>support our commitment to environmental sustainability.</w:t>
                        </w:r>
                      </w:p>
                    </w:tc>
                  </w:tr>
                </w:tbl>
                <w:p w:rsidR="005F29C4" w:rsidRPr="005F29C4" w:rsidRDefault="005F29C4" w:rsidP="005F29C4">
                  <w:pPr>
                    <w:spacing w:after="0" w:line="240" w:lineRule="auto"/>
                    <w:rPr>
                      <w:rFonts w:ascii="Arial" w:eastAsia="Times New Roman" w:hAnsi="Arial" w:cs="Arial"/>
                      <w:i/>
                      <w:sz w:val="14"/>
                      <w:szCs w:val="14"/>
                    </w:rPr>
                  </w:pPr>
                </w:p>
              </w:tc>
            </w:tr>
          </w:tbl>
          <w:p w:rsidR="005F29C4" w:rsidRPr="005F29C4" w:rsidRDefault="005F29C4" w:rsidP="005F29C4">
            <w:pPr>
              <w:spacing w:before="100" w:beforeAutospacing="1" w:after="100" w:afterAutospacing="1" w:line="240" w:lineRule="auto"/>
              <w:rPr>
                <w:rFonts w:ascii="Times New Roman" w:eastAsia="Times New Roman" w:hAnsi="Times New Roman" w:cs="Times New Roman"/>
                <w:i/>
                <w:sz w:val="24"/>
                <w:szCs w:val="24"/>
              </w:rPr>
            </w:pPr>
            <w:r w:rsidRPr="005F29C4">
              <w:rPr>
                <w:rFonts w:ascii="Arial" w:eastAsia="Times New Roman" w:hAnsi="Arial" w:cs="Arial"/>
                <w:i/>
                <w:sz w:val="14"/>
                <w:szCs w:val="14"/>
              </w:rPr>
              <w:t> </w:t>
            </w:r>
          </w:p>
        </w:tc>
        <w:tc>
          <w:tcPr>
            <w:tcW w:w="3182" w:type="dxa"/>
            <w:tcMar>
              <w:top w:w="36" w:type="dxa"/>
              <w:left w:w="36" w:type="dxa"/>
              <w:bottom w:w="36" w:type="dxa"/>
              <w:right w:w="36" w:type="dxa"/>
            </w:tcMar>
            <w:hideMark/>
          </w:tcPr>
          <w:p w:rsidR="005F29C4" w:rsidRPr="005F29C4" w:rsidRDefault="005F29C4" w:rsidP="005F29C4">
            <w:pPr>
              <w:spacing w:before="100" w:beforeAutospacing="1" w:after="100" w:afterAutospacing="1" w:line="240" w:lineRule="auto"/>
              <w:rPr>
                <w:rFonts w:ascii="Arial" w:eastAsia="Times New Roman" w:hAnsi="Arial" w:cs="Arial"/>
                <w:sz w:val="14"/>
                <w:szCs w:val="14"/>
              </w:rPr>
            </w:pPr>
          </w:p>
        </w:tc>
      </w:tr>
    </w:tbl>
    <w:p w:rsidR="005F29C4" w:rsidRPr="005F29C4" w:rsidRDefault="005F29C4" w:rsidP="00E104E3">
      <w:pPr>
        <w:spacing w:before="100" w:beforeAutospacing="1" w:after="100" w:afterAutospacing="1" w:line="240" w:lineRule="auto"/>
        <w:jc w:val="center"/>
        <w:rPr>
          <w:rFonts w:ascii="Arial" w:eastAsia="Times New Roman" w:hAnsi="Arial" w:cs="Arial"/>
          <w:sz w:val="14"/>
          <w:szCs w:val="14"/>
        </w:rPr>
      </w:pPr>
    </w:p>
    <w:sectPr w:rsidR="005F29C4" w:rsidRPr="005F29C4" w:rsidSect="00050AED">
      <w:pgSz w:w="12240" w:h="15840"/>
      <w:pgMar w:top="11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6571"/>
    <w:multiLevelType w:val="multilevel"/>
    <w:tmpl w:val="3DD69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30475"/>
    <w:multiLevelType w:val="multilevel"/>
    <w:tmpl w:val="54F0D3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759B7"/>
    <w:multiLevelType w:val="multilevel"/>
    <w:tmpl w:val="2A128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9C4"/>
    <w:rsid w:val="00050AED"/>
    <w:rsid w:val="003D1643"/>
    <w:rsid w:val="00522D06"/>
    <w:rsid w:val="005F29C4"/>
    <w:rsid w:val="00BE4826"/>
    <w:rsid w:val="00C36C43"/>
    <w:rsid w:val="00C5068B"/>
    <w:rsid w:val="00D738EA"/>
    <w:rsid w:val="00D80AC9"/>
    <w:rsid w:val="00DC0F66"/>
    <w:rsid w:val="00E1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F29C4"/>
    <w:rPr>
      <w:strike w:val="0"/>
      <w:dstrike w:val="0"/>
      <w:color w:val="2895D5"/>
      <w:u w:val="none"/>
      <w:effect w:val="none"/>
    </w:rPr>
  </w:style>
  <w:style w:type="paragraph" w:styleId="NormalWeb">
    <w:name w:val="Normal (Web)"/>
    <w:basedOn w:val="Normal"/>
    <w:uiPriority w:val="99"/>
    <w:unhideWhenUsed/>
    <w:rsid w:val="005F2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copyright">
    <w:name w:val="footer_copyright"/>
    <w:basedOn w:val="Normal"/>
    <w:rsid w:val="005F29C4"/>
    <w:pPr>
      <w:spacing w:after="0" w:line="240" w:lineRule="auto"/>
    </w:pPr>
    <w:rPr>
      <w:rFonts w:ascii="Times New Roman" w:eastAsia="Times New Roman" w:hAnsi="Times New Roman" w:cs="Times New Roman"/>
      <w:color w:val="999999"/>
      <w:sz w:val="13"/>
      <w:szCs w:val="13"/>
    </w:rPr>
  </w:style>
  <w:style w:type="paragraph" w:customStyle="1" w:styleId="bodygray2">
    <w:name w:val="body_gray2"/>
    <w:basedOn w:val="Normal"/>
    <w:rsid w:val="005F29C4"/>
    <w:pPr>
      <w:spacing w:before="100" w:beforeAutospacing="1" w:after="100" w:afterAutospacing="1" w:line="192" w:lineRule="atLeast"/>
    </w:pPr>
    <w:rPr>
      <w:rFonts w:ascii="Arial" w:eastAsia="Times New Roman" w:hAnsi="Arial" w:cs="Arial"/>
      <w:color w:val="333333"/>
      <w:sz w:val="14"/>
      <w:szCs w:val="14"/>
    </w:rPr>
  </w:style>
  <w:style w:type="paragraph" w:customStyle="1" w:styleId="rightsidenav">
    <w:name w:val="right_side_nav"/>
    <w:basedOn w:val="Normal"/>
    <w:rsid w:val="005F29C4"/>
    <w:pPr>
      <w:spacing w:before="100" w:beforeAutospacing="1" w:after="100" w:afterAutospacing="1" w:line="132" w:lineRule="atLeast"/>
    </w:pPr>
    <w:rPr>
      <w:rFonts w:ascii="Arial" w:eastAsia="Times New Roman" w:hAnsi="Arial" w:cs="Arial"/>
      <w:color w:val="333333"/>
      <w:sz w:val="13"/>
      <w:szCs w:val="13"/>
    </w:rPr>
  </w:style>
  <w:style w:type="paragraph" w:styleId="z-TopofForm">
    <w:name w:val="HTML Top of Form"/>
    <w:basedOn w:val="Normal"/>
    <w:next w:val="Normal"/>
    <w:link w:val="z-TopofFormChar"/>
    <w:hidden/>
    <w:uiPriority w:val="99"/>
    <w:semiHidden/>
    <w:unhideWhenUsed/>
    <w:rsid w:val="005F29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29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F29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29C4"/>
    <w:rPr>
      <w:rFonts w:ascii="Arial" w:eastAsia="Times New Roman" w:hAnsi="Arial" w:cs="Arial"/>
      <w:vanish/>
      <w:sz w:val="16"/>
      <w:szCs w:val="16"/>
    </w:rPr>
  </w:style>
  <w:style w:type="character" w:customStyle="1" w:styleId="plainhtml">
    <w:name w:val="plainhtml"/>
    <w:basedOn w:val="DefaultParagraphFont"/>
    <w:rsid w:val="005F29C4"/>
  </w:style>
  <w:style w:type="character" w:customStyle="1" w:styleId="rightsidenav1">
    <w:name w:val="right_side_nav1"/>
    <w:basedOn w:val="DefaultParagraphFont"/>
    <w:rsid w:val="005F29C4"/>
    <w:rPr>
      <w:rFonts w:ascii="Arial" w:hAnsi="Arial" w:cs="Arial" w:hint="default"/>
      <w:b w:val="0"/>
      <w:bCs w:val="0"/>
      <w:i w:val="0"/>
      <w:iCs w:val="0"/>
      <w:color w:val="333333"/>
      <w:sz w:val="13"/>
      <w:szCs w:val="13"/>
    </w:rPr>
  </w:style>
  <w:style w:type="character" w:customStyle="1" w:styleId="subheaderorange1">
    <w:name w:val="subheader_orange1"/>
    <w:basedOn w:val="DefaultParagraphFont"/>
    <w:rsid w:val="005F29C4"/>
    <w:rPr>
      <w:rFonts w:ascii="Arial" w:hAnsi="Arial" w:cs="Arial" w:hint="default"/>
      <w:b/>
      <w:bCs/>
      <w:color w:val="E67600"/>
      <w:sz w:val="13"/>
      <w:szCs w:val="13"/>
    </w:rPr>
  </w:style>
  <w:style w:type="character" w:customStyle="1" w:styleId="bodygray111">
    <w:name w:val="body_gray_111"/>
    <w:basedOn w:val="DefaultParagraphFont"/>
    <w:rsid w:val="005F29C4"/>
    <w:rPr>
      <w:rFonts w:ascii="Arial" w:hAnsi="Arial" w:cs="Arial" w:hint="default"/>
      <w:b w:val="0"/>
      <w:bCs w:val="0"/>
      <w:i w:val="0"/>
      <w:iCs w:val="0"/>
      <w:color w:val="333333"/>
      <w:sz w:val="13"/>
      <w:szCs w:val="13"/>
    </w:rPr>
  </w:style>
  <w:style w:type="paragraph" w:styleId="BalloonText">
    <w:name w:val="Balloon Text"/>
    <w:basedOn w:val="Normal"/>
    <w:link w:val="BalloonTextChar"/>
    <w:uiPriority w:val="99"/>
    <w:semiHidden/>
    <w:unhideWhenUsed/>
    <w:rsid w:val="005F2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240404">
      <w:marLeft w:val="0"/>
      <w:marRight w:val="0"/>
      <w:marTop w:val="0"/>
      <w:marBottom w:val="0"/>
      <w:divBdr>
        <w:top w:val="none" w:sz="0" w:space="0" w:color="auto"/>
        <w:left w:val="none" w:sz="0" w:space="0" w:color="auto"/>
        <w:bottom w:val="none" w:sz="0" w:space="0" w:color="auto"/>
        <w:right w:val="none" w:sz="0" w:space="0" w:color="auto"/>
      </w:divBdr>
      <w:divsChild>
        <w:div w:id="172964473">
          <w:marLeft w:val="0"/>
          <w:marRight w:val="0"/>
          <w:marTop w:val="0"/>
          <w:marBottom w:val="0"/>
          <w:divBdr>
            <w:top w:val="none" w:sz="0" w:space="0" w:color="auto"/>
            <w:left w:val="none" w:sz="0" w:space="0" w:color="auto"/>
            <w:bottom w:val="none" w:sz="0" w:space="0" w:color="auto"/>
            <w:right w:val="none" w:sz="0" w:space="0" w:color="auto"/>
          </w:divBdr>
        </w:div>
        <w:div w:id="1549146407">
          <w:marLeft w:val="0"/>
          <w:marRight w:val="0"/>
          <w:marTop w:val="0"/>
          <w:marBottom w:val="0"/>
          <w:divBdr>
            <w:top w:val="none" w:sz="0" w:space="0" w:color="auto"/>
            <w:left w:val="none" w:sz="0" w:space="0" w:color="auto"/>
            <w:bottom w:val="none" w:sz="0" w:space="0" w:color="auto"/>
            <w:right w:val="none" w:sz="0" w:space="0" w:color="auto"/>
          </w:divBdr>
        </w:div>
        <w:div w:id="61953679">
          <w:marLeft w:val="0"/>
          <w:marRight w:val="0"/>
          <w:marTop w:val="0"/>
          <w:marBottom w:val="0"/>
          <w:divBdr>
            <w:top w:val="none" w:sz="0" w:space="0" w:color="auto"/>
            <w:left w:val="none" w:sz="0" w:space="0" w:color="auto"/>
            <w:bottom w:val="none" w:sz="0" w:space="0" w:color="auto"/>
            <w:right w:val="none" w:sz="0" w:space="0" w:color="auto"/>
          </w:divBdr>
        </w:div>
        <w:div w:id="1311137305">
          <w:marLeft w:val="180"/>
          <w:marRight w:val="0"/>
          <w:marTop w:val="0"/>
          <w:marBottom w:val="0"/>
          <w:divBdr>
            <w:top w:val="none" w:sz="0" w:space="0" w:color="auto"/>
            <w:left w:val="none" w:sz="0" w:space="0" w:color="auto"/>
            <w:bottom w:val="none" w:sz="0" w:space="0" w:color="auto"/>
            <w:right w:val="none" w:sz="0" w:space="0" w:color="auto"/>
          </w:divBdr>
        </w:div>
        <w:div w:id="206991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share.xerox.com/industries/industries_government.html" TargetMode="External"/><Relationship Id="rId13" Type="http://schemas.openxmlformats.org/officeDocument/2006/relationships/hyperlink" Target="http://docushare.xerox.com/industries/industries_retail.html" TargetMode="External"/><Relationship Id="rId18" Type="http://schemas.openxmlformats.org/officeDocument/2006/relationships/hyperlink" Target="http://docushare.xerox.com/partners/partners_technology.html" TargetMode="External"/><Relationship Id="rId26" Type="http://schemas.openxmlformats.org/officeDocument/2006/relationships/hyperlink" Target="http://docushare.xerox.com/resource/resource_events.html" TargetMode="External"/><Relationship Id="rId39" Type="http://schemas.openxmlformats.org/officeDocument/2006/relationships/hyperlink" Target="http://vcweb/gsa/procurement/surplus.aspx" TargetMode="External"/><Relationship Id="rId3" Type="http://schemas.openxmlformats.org/officeDocument/2006/relationships/settings" Target="settings.xml"/><Relationship Id="rId21" Type="http://schemas.openxmlformats.org/officeDocument/2006/relationships/image" Target="media/image3.gif"/><Relationship Id="rId34" Type="http://schemas.openxmlformats.org/officeDocument/2006/relationships/hyperlink" Target="http://docushare.xerox.com/news/news_indusAnalysts.html" TargetMode="External"/><Relationship Id="rId42" Type="http://schemas.openxmlformats.org/officeDocument/2006/relationships/theme" Target="theme/theme1.xml"/><Relationship Id="rId7" Type="http://schemas.openxmlformats.org/officeDocument/2006/relationships/hyperlink" Target="http://docushare.xerox.com/industries/industries_financial.html" TargetMode="External"/><Relationship Id="rId12" Type="http://schemas.openxmlformats.org/officeDocument/2006/relationships/hyperlink" Target="http://docushare.xerox.com/industries/industries_manufacturing.html" TargetMode="External"/><Relationship Id="rId17" Type="http://schemas.openxmlformats.org/officeDocument/2006/relationships/hyperlink" Target="http://docushare.xerox.com/partners/partners_system.html" TargetMode="External"/><Relationship Id="rId25" Type="http://schemas.openxmlformats.org/officeDocument/2006/relationships/hyperlink" Target="http://docushare.xerox.com/resource/resource_demos.html" TargetMode="External"/><Relationship Id="rId33" Type="http://schemas.openxmlformats.org/officeDocument/2006/relationships/hyperlink" Target="http://docushare.xerox.com/products/ds_products_awards.html" TargetMode="External"/><Relationship Id="rId38" Type="http://schemas.openxmlformats.org/officeDocument/2006/relationships/hyperlink" Target="http://docushare/docushare/dsweb/HomePage" TargetMode="External"/><Relationship Id="rId2" Type="http://schemas.openxmlformats.org/officeDocument/2006/relationships/styles" Target="styles.xml"/><Relationship Id="rId16" Type="http://schemas.openxmlformats.org/officeDocument/2006/relationships/hyperlink" Target="http://docushare.xerox.com/partners/partners_catalog.html" TargetMode="External"/><Relationship Id="rId20" Type="http://schemas.openxmlformats.org/officeDocument/2006/relationships/hyperlink" Target="http://docushare.xerox.com/partners/partners_become.html" TargetMode="External"/><Relationship Id="rId29" Type="http://schemas.openxmlformats.org/officeDocument/2006/relationships/hyperlink" Target="http://docushare.xerox.com/resource/resource_webinar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share.xerox.com/industries/industries_education.html" TargetMode="External"/><Relationship Id="rId11" Type="http://schemas.openxmlformats.org/officeDocument/2006/relationships/hyperlink" Target="http://docushare.xerox.com/industries/industries_legal.html" TargetMode="External"/><Relationship Id="rId24" Type="http://schemas.openxmlformats.org/officeDocument/2006/relationships/hyperlink" Target="http://docushare.xerox.com/resource/resource_customer.html" TargetMode="External"/><Relationship Id="rId32" Type="http://schemas.openxmlformats.org/officeDocument/2006/relationships/hyperlink" Target="http://docushare.xerox.com/news/news_articles.html" TargetMode="External"/><Relationship Id="rId37" Type="http://schemas.openxmlformats.org/officeDocument/2006/relationships/image" Target="media/image5.jpeg"/><Relationship Id="rId40" Type="http://schemas.openxmlformats.org/officeDocument/2006/relationships/hyperlink" Target="http://docushare.xerox.com/pdf/EHS_Environmental_Sustainability.pdf" TargetMode="External"/><Relationship Id="rId5" Type="http://schemas.openxmlformats.org/officeDocument/2006/relationships/image" Target="media/image1.gif"/><Relationship Id="rId15" Type="http://schemas.openxmlformats.org/officeDocument/2006/relationships/hyperlink" Target="http://docushare.xerox.com/partners/partners.html" TargetMode="External"/><Relationship Id="rId23" Type="http://schemas.openxmlformats.org/officeDocument/2006/relationships/hyperlink" Target="http://docushare.xerox.com/resource/resource_cs.html" TargetMode="External"/><Relationship Id="rId28" Type="http://schemas.openxmlformats.org/officeDocument/2006/relationships/hyperlink" Target="http://docushare.xerox.com/resource/index.html" TargetMode="External"/><Relationship Id="rId36" Type="http://schemas.openxmlformats.org/officeDocument/2006/relationships/hyperlink" Target="http://docushare.xerox.com/news/newsletters.html" TargetMode="External"/><Relationship Id="rId10" Type="http://schemas.openxmlformats.org/officeDocument/2006/relationships/hyperlink" Target="http://docushare.xerox.com/industries/industries_high_tech.html" TargetMode="External"/><Relationship Id="rId19" Type="http://schemas.openxmlformats.org/officeDocument/2006/relationships/hyperlink" Target="http://docushare.xerox.com/partners/partners_us.html" TargetMode="External"/><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docushare.xerox.com/industries/industries_healthcare.html" TargetMode="External"/><Relationship Id="rId14" Type="http://schemas.openxmlformats.org/officeDocument/2006/relationships/image" Target="media/image2.gif"/><Relationship Id="rId22" Type="http://schemas.openxmlformats.org/officeDocument/2006/relationships/hyperlink" Target="http://docushare.xerox.com/resource/resource_pb.html" TargetMode="External"/><Relationship Id="rId27" Type="http://schemas.openxmlformats.org/officeDocument/2006/relationships/hyperlink" Target="http://docushare.xerox.com/resource/resource_training.html" TargetMode="External"/><Relationship Id="rId30" Type="http://schemas.openxmlformats.org/officeDocument/2006/relationships/hyperlink" Target="http://docushare.xerox.com/resource/resource_wp.html" TargetMode="External"/><Relationship Id="rId35" Type="http://schemas.openxmlformats.org/officeDocument/2006/relationships/hyperlink" Target="http://docushare.xerox.com/news/news_p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684</Words>
  <Characters>3905</Characters>
  <Application>Microsoft Office Word</Application>
  <DocSecurity>0</DocSecurity>
  <Lines>32</Lines>
  <Paragraphs>9</Paragraphs>
  <ScaleCrop>false</ScaleCrop>
  <Company>County of Ventura - Watershed Protection District</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Hackleman</dc:creator>
  <cp:lastModifiedBy>Chris Hackleman</cp:lastModifiedBy>
  <cp:revision>8</cp:revision>
  <dcterms:created xsi:type="dcterms:W3CDTF">2011-05-18T21:03:00Z</dcterms:created>
  <dcterms:modified xsi:type="dcterms:W3CDTF">2011-05-18T21:28:00Z</dcterms:modified>
</cp:coreProperties>
</file>